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E6" w:rsidRPr="001A7279" w:rsidRDefault="00C61EE6" w:rsidP="001A7279">
      <w:pPr>
        <w:rPr>
          <w:rFonts w:ascii="Arial" w:hAnsi="Arial" w:cs="Arial"/>
          <w:b/>
          <w:spacing w:val="-2"/>
          <w:u w:val="single"/>
        </w:rPr>
      </w:pPr>
      <w:bookmarkStart w:id="0" w:name="_GoBack"/>
      <w:bookmarkEnd w:id="0"/>
      <w:r w:rsidRPr="00C60B6B">
        <w:rPr>
          <w:rFonts w:ascii="Arial" w:hAnsi="Arial" w:cs="Arial"/>
          <w:b/>
          <w:spacing w:val="-2"/>
          <w:u w:val="single"/>
        </w:rPr>
        <w:t>CUADRO Nº</w:t>
      </w:r>
      <w:r w:rsidR="00C60B6B" w:rsidRPr="00C60B6B">
        <w:rPr>
          <w:rFonts w:ascii="Arial" w:hAnsi="Arial" w:cs="Arial"/>
          <w:b/>
          <w:spacing w:val="-2"/>
          <w:u w:val="single"/>
        </w:rPr>
        <w:t xml:space="preserve"> 6</w:t>
      </w:r>
    </w:p>
    <w:p w:rsidR="00C61EE6" w:rsidRPr="001A7279" w:rsidRDefault="00C61EE6" w:rsidP="001A7279">
      <w:pPr>
        <w:rPr>
          <w:rFonts w:ascii="Arial" w:hAnsi="Arial" w:cs="Arial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8512"/>
      </w:tblGrid>
      <w:tr w:rsidR="00C61EE6" w:rsidRPr="001A7279" w:rsidTr="00687D4F">
        <w:trPr>
          <w:trHeight w:val="90"/>
        </w:trPr>
        <w:tc>
          <w:tcPr>
            <w:tcW w:w="8748" w:type="dxa"/>
          </w:tcPr>
          <w:p w:rsidR="00E72E5C" w:rsidRPr="001A7279" w:rsidRDefault="00E72E5C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522AEB" w:rsidRPr="001A7279" w:rsidRDefault="00522AEB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687D4F" w:rsidRPr="001A7279" w:rsidRDefault="00687D4F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683589" w:rsidRPr="001A7279" w:rsidRDefault="00683589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E72E5C" w:rsidRDefault="00E72E5C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 w:rsidRPr="001A7279">
              <w:rPr>
                <w:rFonts w:ascii="Arial" w:hAnsi="Arial" w:cs="Arial"/>
                <w:b/>
                <w:spacing w:val="-2"/>
                <w:u w:val="single"/>
              </w:rPr>
              <w:t xml:space="preserve">LEY IMPOSITIVA Nº </w:t>
            </w:r>
            <w:r w:rsidR="00EA03A7">
              <w:rPr>
                <w:rFonts w:ascii="Arial" w:hAnsi="Arial" w:cs="Arial"/>
                <w:b/>
                <w:spacing w:val="-2"/>
                <w:u w:val="single"/>
              </w:rPr>
              <w:t>2026</w:t>
            </w:r>
            <w:r w:rsidR="002F576F" w:rsidRPr="001A7279">
              <w:rPr>
                <w:rFonts w:ascii="Arial" w:hAnsi="Arial" w:cs="Arial"/>
                <w:b/>
                <w:spacing w:val="-2"/>
                <w:u w:val="single"/>
              </w:rPr>
              <w:t>-I</w:t>
            </w:r>
          </w:p>
          <w:p w:rsidR="00E94B16" w:rsidRPr="001A7279" w:rsidRDefault="00E94B16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u w:val="single"/>
              </w:rPr>
              <w:t>Modificada por Ley Nº 2134-I</w:t>
            </w:r>
          </w:p>
          <w:p w:rsidR="008E4212" w:rsidRPr="001A7279" w:rsidRDefault="008E4212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C440FC" w:rsidRPr="001A7279" w:rsidRDefault="00C440FC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1A7279">
              <w:rPr>
                <w:rFonts w:ascii="Arial" w:hAnsi="Arial" w:cs="Arial"/>
                <w:spacing w:val="-2"/>
              </w:rPr>
              <w:t>TITULO VII</w:t>
            </w:r>
          </w:p>
          <w:p w:rsidR="00C440FC" w:rsidRDefault="00C440FC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1A7279">
              <w:rPr>
                <w:rFonts w:ascii="Arial" w:hAnsi="Arial" w:cs="Arial"/>
                <w:spacing w:val="-2"/>
              </w:rPr>
              <w:t>IMPUESTO SOBRE LOS INGRESOS BRUTOS</w:t>
            </w:r>
          </w:p>
          <w:p w:rsidR="002D693F" w:rsidRDefault="002D693F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2D693F" w:rsidRDefault="002D693F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AE467A" w:rsidRDefault="00AE467A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2D693F" w:rsidRPr="002D693F" w:rsidRDefault="002D693F" w:rsidP="002D693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2D693F">
              <w:rPr>
                <w:rFonts w:ascii="Arial" w:hAnsi="Arial" w:cs="Arial"/>
                <w:b/>
                <w:spacing w:val="-2"/>
                <w:u w:val="single"/>
                <w:lang w:val="es-ES"/>
              </w:rPr>
              <w:t>ARTÍCULO 50.-</w:t>
            </w:r>
            <w:r w:rsidRPr="002D693F">
              <w:rPr>
                <w:rFonts w:ascii="Arial" w:hAnsi="Arial" w:cs="Arial"/>
                <w:b/>
                <w:spacing w:val="-2"/>
                <w:lang w:val="es-ES"/>
              </w:rPr>
              <w:tab/>
            </w:r>
            <w:r w:rsidRPr="002D693F">
              <w:rPr>
                <w:rFonts w:ascii="Arial" w:hAnsi="Arial" w:cs="Arial"/>
                <w:spacing w:val="-2"/>
                <w:lang w:val="es-ES"/>
              </w:rPr>
              <w:t xml:space="preserve">Para la actividad de transporte jurisdiccional e interjurisdiccional de cargas desarrollada por contribuyentes radicados o no en la Provincia de San Juan, incluidas las cooperativas, la alícuota a aplicar será del </w:t>
            </w:r>
            <w:r w:rsidRPr="002D693F">
              <w:rPr>
                <w:rFonts w:ascii="Arial" w:hAnsi="Arial" w:cs="Arial"/>
                <w:b/>
                <w:strike/>
                <w:spacing w:val="-2"/>
                <w:lang w:val="es-ES"/>
              </w:rPr>
              <w:t>tres por ciento (3,00%).</w:t>
            </w:r>
          </w:p>
          <w:p w:rsidR="002D693F" w:rsidRPr="002D693F" w:rsidRDefault="002D693F" w:rsidP="002D693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2D693F">
              <w:rPr>
                <w:rFonts w:ascii="Arial" w:hAnsi="Arial" w:cs="Arial"/>
                <w:spacing w:val="-2"/>
                <w:lang w:val="es-ES"/>
              </w:rPr>
              <w:t>Los contribuyentes que desarrollen esta actividad y tengan sus bienes inmuebles situados en la Provincia de San Juan y sus vehículos radicados en la misma, y tengan pagado al 31 de Diciembre del año inmediato anterior el Impuesto Inmobiliario y el Impuesto a la Radicación de Automotores, correspondiente a dichos bienes, que se encuentre vencido al 30 de Junio de dicho año, aplicarán la alícuota del uno con setenta y cinco centésimos por ciento (1,75%).</w:t>
            </w:r>
          </w:p>
          <w:p w:rsidR="002D693F" w:rsidRPr="002D693F" w:rsidRDefault="002D693F" w:rsidP="002D693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2D693F">
              <w:rPr>
                <w:rFonts w:ascii="Arial" w:hAnsi="Arial" w:cs="Arial"/>
                <w:spacing w:val="-2"/>
                <w:lang w:val="es-ES"/>
              </w:rPr>
              <w:t xml:space="preserve">En el caso en que la Dirección General de Rentas determine diferencia a favor del fisco en el Impuesto sobre los Ingresos Brutos por la actividad citada para los contribuyentes radicados en la Provincia, se aplicará a la totalidad de la base imponible determinada la alícuota del </w:t>
            </w:r>
            <w:r w:rsidRPr="002D693F">
              <w:rPr>
                <w:rFonts w:ascii="Arial" w:hAnsi="Arial" w:cs="Arial"/>
                <w:b/>
                <w:strike/>
                <w:spacing w:val="-2"/>
                <w:lang w:val="es-ES"/>
              </w:rPr>
              <w:t>tres por ciento (3,00%).</w:t>
            </w:r>
          </w:p>
          <w:p w:rsidR="002D693F" w:rsidRPr="002D693F" w:rsidRDefault="002D693F" w:rsidP="002D693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2D693F">
              <w:rPr>
                <w:rFonts w:ascii="Arial" w:hAnsi="Arial" w:cs="Arial"/>
                <w:spacing w:val="-2"/>
                <w:lang w:val="es-ES"/>
              </w:rPr>
              <w:t>La Dirección General de Rentas está facultada para determinar procedimientos, plazos, prórrogas, condiciones y todo lo necesario para implementar las disposiciones establecidas en los párrafos anteriores.</w:t>
            </w:r>
          </w:p>
          <w:p w:rsidR="00AE467A" w:rsidRDefault="00AE467A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  <w:lang w:val="es-ES"/>
              </w:rPr>
            </w:pPr>
          </w:p>
          <w:p w:rsidR="00B67B9F" w:rsidRDefault="00B67B9F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  <w:lang w:val="es-ES"/>
              </w:rPr>
            </w:pPr>
          </w:p>
          <w:p w:rsidR="00B67B9F" w:rsidRPr="002D693F" w:rsidRDefault="00B67B9F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  <w:lang w:val="es-ES"/>
              </w:rPr>
            </w:pPr>
          </w:p>
          <w:p w:rsidR="002D693F" w:rsidRDefault="002D693F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2D693F" w:rsidRDefault="002D693F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2D693F" w:rsidRDefault="002D693F" w:rsidP="002D693F">
            <w:pPr>
              <w:pStyle w:val="Sangradetextonormal"/>
              <w:spacing w:after="0"/>
              <w:ind w:left="0"/>
              <w:jc w:val="both"/>
              <w:rPr>
                <w:rFonts w:cs="Arial"/>
              </w:rPr>
            </w:pPr>
            <w:r w:rsidRPr="003E4E94">
              <w:rPr>
                <w:rFonts w:cs="Arial"/>
                <w:b/>
                <w:u w:val="single"/>
              </w:rPr>
              <w:t>ARTÍCULO 51.-</w:t>
            </w:r>
            <w:r w:rsidRPr="002C1F6F">
              <w:rPr>
                <w:rFonts w:cs="Arial"/>
              </w:rPr>
              <w:t xml:space="preserve">En la actividad de producción primaria, desarrollada por contribuyentes que posean su explotación en actividad, ubicada o no en la Provincia de San Juan, la alícuota será del </w:t>
            </w:r>
            <w:r w:rsidRPr="002D693F">
              <w:rPr>
                <w:rFonts w:cs="Arial"/>
                <w:b/>
                <w:strike/>
              </w:rPr>
              <w:t>uno por ciento (1%),</w:t>
            </w:r>
            <w:r w:rsidRPr="002C1F6F">
              <w:rPr>
                <w:rFonts w:cs="Arial"/>
              </w:rPr>
              <w:t xml:space="preserve"> excepto en los casos en que el contribuyente encuadre en las disposiciones del Artículo 130, Inciso o) del Código Tributario.</w:t>
            </w:r>
          </w:p>
          <w:p w:rsidR="002D693F" w:rsidRPr="002C1F6F" w:rsidRDefault="002D693F" w:rsidP="002D693F">
            <w:pPr>
              <w:pStyle w:val="Sangradetextonormal"/>
              <w:spacing w:after="0"/>
              <w:ind w:left="0"/>
              <w:jc w:val="both"/>
              <w:rPr>
                <w:rFonts w:cs="Arial"/>
              </w:rPr>
            </w:pPr>
          </w:p>
          <w:p w:rsidR="002D693F" w:rsidRPr="002C1F6F" w:rsidRDefault="002D693F" w:rsidP="002D693F">
            <w:pPr>
              <w:pStyle w:val="Sangradetextonormal"/>
              <w:spacing w:after="0"/>
              <w:ind w:left="0" w:firstLine="2127"/>
              <w:jc w:val="both"/>
              <w:rPr>
                <w:rFonts w:cs="Arial"/>
              </w:rPr>
            </w:pPr>
            <w:r w:rsidRPr="002C1F6F">
              <w:rPr>
                <w:rFonts w:cs="Arial"/>
              </w:rPr>
              <w:t>En la actividad de producción de bienes (industria manufacturera), desarrollada por contribuyentes que posean su establecimiento industrial en actividad, ubicado o no en la Provincia de San Juan, la alícuota será del uno con cincuenta centésimos por ciento (1,50%), excepto en los casos en que el contribuyente encuadre en las disposiciones del Artículo 130, Inciso p) del Código Tributario. Las ventas a consumidores finales no están incluidas en este párrafo, debiendo aplicárseles la alícuota general.</w:t>
            </w:r>
          </w:p>
          <w:p w:rsidR="002D693F" w:rsidRPr="002D693F" w:rsidRDefault="002D693F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  <w:lang w:val="es-ES"/>
              </w:rPr>
            </w:pPr>
          </w:p>
          <w:p w:rsidR="00B67B9F" w:rsidRDefault="00B67B9F" w:rsidP="00B67B9F">
            <w:pPr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u w:val="single"/>
                <w:lang w:val="es-ES"/>
              </w:rPr>
            </w:pPr>
          </w:p>
          <w:p w:rsidR="00B67B9F" w:rsidRDefault="00B67B9F" w:rsidP="00B67B9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b/>
                <w:spacing w:val="-2"/>
                <w:u w:val="single"/>
                <w:lang w:val="es-ES"/>
              </w:rPr>
              <w:t>ARTÍCULO 55.-</w:t>
            </w:r>
            <w:r w:rsidRPr="00B67B9F">
              <w:rPr>
                <w:rFonts w:ascii="Arial" w:hAnsi="Arial" w:cs="Arial"/>
                <w:b/>
                <w:spacing w:val="-2"/>
                <w:lang w:val="es-ES"/>
              </w:rPr>
              <w:tab/>
            </w:r>
            <w:r w:rsidRPr="00B67B9F">
              <w:rPr>
                <w:rFonts w:ascii="Arial" w:hAnsi="Arial" w:cs="Arial"/>
                <w:spacing w:val="-2"/>
                <w:lang w:val="es-ES"/>
              </w:rPr>
              <w:t>Establécense para las actividades que se detallan a continuación las siguientes alícuotas:</w:t>
            </w:r>
          </w:p>
          <w:p w:rsidR="00B67B9F" w:rsidRPr="00B67B9F" w:rsidRDefault="00B67B9F" w:rsidP="00B67B9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  <w:p w:rsidR="00B67B9F" w:rsidRPr="00B67B9F" w:rsidRDefault="00B67B9F" w:rsidP="00B67B9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spacing w:val="-2"/>
                <w:lang w:val="es-ES"/>
              </w:rPr>
              <w:t>INCISO A: Del cuatro por ciento (4%):</w:t>
            </w:r>
          </w:p>
          <w:p w:rsidR="00B67B9F" w:rsidRPr="00B67B9F" w:rsidRDefault="00B67B9F" w:rsidP="00B67B9F">
            <w:pPr>
              <w:suppressAutoHyphens/>
              <w:ind w:left="1276" w:right="50" w:hanging="283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spacing w:val="-2"/>
                <w:lang w:val="es-ES"/>
              </w:rPr>
              <w:t>1- Empresas o personas dedicadas a la negociación de  órdenes de compra.</w:t>
            </w:r>
          </w:p>
          <w:p w:rsidR="00B67B9F" w:rsidRPr="00B67B9F" w:rsidRDefault="00B67B9F" w:rsidP="00B67B9F">
            <w:pPr>
              <w:suppressAutoHyphens/>
              <w:ind w:left="1276" w:right="50" w:hanging="283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spacing w:val="-2"/>
                <w:lang w:val="es-ES"/>
              </w:rPr>
              <w:t xml:space="preserve">2- Los servicios prestados por agencias de viajes o empresas de </w:t>
            </w:r>
            <w:r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B67B9F">
              <w:rPr>
                <w:rFonts w:ascii="Arial" w:hAnsi="Arial" w:cs="Arial"/>
                <w:spacing w:val="-2"/>
                <w:lang w:val="es-ES"/>
              </w:rPr>
              <w:t>turismo. Excepto por aquellas actividades que se encuentren alcanzadas por el Artículo 56, Inciso 7.</w:t>
            </w:r>
          </w:p>
          <w:p w:rsidR="00B67B9F" w:rsidRPr="00B67B9F" w:rsidRDefault="00B67B9F" w:rsidP="00B67B9F">
            <w:pPr>
              <w:suppressAutoHyphens/>
              <w:ind w:right="50" w:firstLine="993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spacing w:val="-2"/>
                <w:lang w:val="es-ES"/>
              </w:rPr>
              <w:t>3- Medicina Pre-paga.</w:t>
            </w:r>
          </w:p>
          <w:p w:rsidR="00B67B9F" w:rsidRDefault="00B67B9F" w:rsidP="00B67B9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  <w:p w:rsidR="00B67B9F" w:rsidRDefault="00B67B9F" w:rsidP="00B67B9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  <w:p w:rsidR="00B67B9F" w:rsidRPr="00B67B9F" w:rsidRDefault="00B67B9F" w:rsidP="00B67B9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spacing w:val="-2"/>
                <w:lang w:val="es-ES"/>
              </w:rPr>
              <w:t>INCISO B: Del seis con cincuenta centésimos por ciento (6,50%):</w:t>
            </w:r>
          </w:p>
          <w:p w:rsidR="00B67B9F" w:rsidRDefault="00B67B9F" w:rsidP="00B67B9F">
            <w:pPr>
              <w:suppressAutoHyphens/>
              <w:ind w:left="1276" w:right="50" w:hanging="283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spacing w:val="-2"/>
                <w:lang w:val="es-ES"/>
              </w:rPr>
              <w:t>1- Préstamos de dinero, descuento de documentos de terce</w:t>
            </w:r>
            <w:r w:rsidRPr="00B67B9F">
              <w:rPr>
                <w:rFonts w:ascii="Arial" w:hAnsi="Arial" w:cs="Arial"/>
                <w:spacing w:val="-2"/>
                <w:lang w:val="es-ES"/>
              </w:rPr>
              <w:softHyphen/>
              <w:t>ros, operaciones efectuadas por los bancos y otras instituciones sujetas al régimen de la Ley de Entidades Financieras.</w:t>
            </w:r>
          </w:p>
          <w:p w:rsidR="00B67B9F" w:rsidRDefault="00B67B9F" w:rsidP="00B67B9F">
            <w:pPr>
              <w:suppressAutoHyphens/>
              <w:ind w:left="1276" w:right="50" w:hanging="283"/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  <w:p w:rsidR="00B67B9F" w:rsidRPr="00B67B9F" w:rsidRDefault="00B67B9F" w:rsidP="00B67B9F">
            <w:pPr>
              <w:suppressAutoHyphens/>
              <w:ind w:left="1276" w:right="50" w:hanging="283"/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  <w:p w:rsidR="00B67B9F" w:rsidRPr="00B67B9F" w:rsidRDefault="00B67B9F" w:rsidP="00B67B9F">
            <w:pPr>
              <w:suppressAutoHyphens/>
              <w:ind w:left="1276" w:right="50" w:hanging="283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spacing w:val="-2"/>
                <w:lang w:val="es-ES"/>
              </w:rPr>
              <w:t>2- Préstamos de dinero (con garantía hipotecaria, prenda</w:t>
            </w:r>
            <w:r w:rsidRPr="00B67B9F">
              <w:rPr>
                <w:rFonts w:ascii="Arial" w:hAnsi="Arial" w:cs="Arial"/>
                <w:spacing w:val="-2"/>
                <w:lang w:val="es-ES"/>
              </w:rPr>
              <w:softHyphen/>
              <w:t>ria, real o personal) y descuentos de documentos de terceros excluidas las actividades regidas por la Ley de Entidades Financieras.</w:t>
            </w:r>
          </w:p>
          <w:p w:rsidR="00B67B9F" w:rsidRPr="00B67B9F" w:rsidRDefault="00B67B9F" w:rsidP="00B67B9F">
            <w:pPr>
              <w:suppressAutoHyphens/>
              <w:ind w:right="50" w:firstLine="993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spacing w:val="-2"/>
                <w:lang w:val="es-ES"/>
              </w:rPr>
              <w:t>3- Servicios de telefonía móvil.</w:t>
            </w:r>
          </w:p>
          <w:p w:rsidR="00B67B9F" w:rsidRPr="00B67B9F" w:rsidRDefault="00B67B9F" w:rsidP="00B67B9F">
            <w:pPr>
              <w:suppressAutoHyphens/>
              <w:ind w:left="1276" w:right="50" w:hanging="283"/>
              <w:jc w:val="both"/>
              <w:rPr>
                <w:rFonts w:ascii="Arial" w:hAnsi="Arial" w:cs="Arial"/>
                <w:b/>
                <w:strike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b/>
                <w:strike/>
                <w:spacing w:val="-2"/>
                <w:lang w:val="es-ES"/>
              </w:rPr>
              <w:t>4-Servicios de proveedores de acceso a internet y servicio de telecomunicación vía internet.</w:t>
            </w:r>
          </w:p>
          <w:p w:rsidR="002D693F" w:rsidRPr="00B67B9F" w:rsidRDefault="002D693F" w:rsidP="00B67B9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  <w:p w:rsidR="00E94B16" w:rsidRDefault="00E94B16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E94B16" w:rsidRPr="00E94B16" w:rsidRDefault="00E94B16" w:rsidP="00E94B16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E94B16">
              <w:rPr>
                <w:rFonts w:ascii="Arial" w:hAnsi="Arial" w:cs="Arial"/>
                <w:u w:val="single"/>
                <w:lang w:val="es-ES"/>
              </w:rPr>
              <w:t>ARTÍCULO 58 B</w:t>
            </w:r>
            <w:r w:rsidR="005D2160">
              <w:rPr>
                <w:rFonts w:ascii="Arial" w:hAnsi="Arial" w:cs="Arial"/>
                <w:u w:val="single"/>
                <w:lang w:val="es-ES"/>
              </w:rPr>
              <w:t>IS</w:t>
            </w:r>
            <w:r w:rsidRPr="00E94B16">
              <w:rPr>
                <w:rFonts w:ascii="Arial" w:hAnsi="Arial" w:cs="Arial"/>
                <w:lang w:val="es-ES"/>
              </w:rPr>
              <w:t>.-</w:t>
            </w:r>
            <w:r w:rsidR="0067217D">
              <w:rPr>
                <w:rFonts w:ascii="Arial" w:hAnsi="Arial" w:cs="Arial"/>
                <w:lang w:val="es-ES"/>
              </w:rPr>
              <w:t xml:space="preserve"> Se e</w:t>
            </w:r>
            <w:r w:rsidR="00D20BDA">
              <w:rPr>
                <w:rFonts w:ascii="Arial" w:hAnsi="Arial" w:cs="Arial"/>
                <w:lang w:val="es-ES"/>
              </w:rPr>
              <w:t>stablece una alícuota del Cero p</w:t>
            </w:r>
            <w:r w:rsidRPr="00E94B16">
              <w:rPr>
                <w:rFonts w:ascii="Arial" w:hAnsi="Arial" w:cs="Arial"/>
                <w:lang w:val="es-ES"/>
              </w:rPr>
              <w:t xml:space="preserve">or Ciento (0.00%) exclusivamente  para los  meses de </w:t>
            </w:r>
            <w:r w:rsidRPr="00914B77">
              <w:rPr>
                <w:rFonts w:ascii="Arial" w:hAnsi="Arial" w:cs="Arial"/>
                <w:b/>
                <w:strike/>
                <w:lang w:val="es-ES"/>
              </w:rPr>
              <w:t>Noviembre y Diciembre del año 20</w:t>
            </w:r>
            <w:r w:rsidR="00914B77">
              <w:rPr>
                <w:rFonts w:ascii="Arial" w:hAnsi="Arial" w:cs="Arial"/>
                <w:b/>
                <w:strike/>
                <w:lang w:val="es-ES"/>
              </w:rPr>
              <w:t>20</w:t>
            </w:r>
            <w:r w:rsidRPr="00E94B16">
              <w:rPr>
                <w:rFonts w:ascii="Arial" w:hAnsi="Arial" w:cs="Arial"/>
                <w:lang w:val="es-ES"/>
              </w:rPr>
              <w:t xml:space="preserve">, en las siguientes actividades:  </w:t>
            </w:r>
          </w:p>
          <w:p w:rsidR="00E94B16" w:rsidRPr="00E94B16" w:rsidRDefault="00E94B16" w:rsidP="00E94B16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E94B16">
              <w:rPr>
                <w:rFonts w:ascii="Arial" w:hAnsi="Arial" w:cs="Arial"/>
                <w:lang w:val="es-ES"/>
              </w:rPr>
              <w:t>1- Prestadores de servicios turísticos.</w:t>
            </w:r>
          </w:p>
          <w:p w:rsidR="00E94B16" w:rsidRPr="00E94B16" w:rsidRDefault="00E94B16" w:rsidP="00E94B16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E94B16">
              <w:rPr>
                <w:rFonts w:ascii="Arial" w:hAnsi="Arial" w:cs="Arial"/>
                <w:lang w:val="es-ES"/>
              </w:rPr>
              <w:t>2- Guías de turismo y de montaña.</w:t>
            </w:r>
          </w:p>
          <w:p w:rsidR="00E94B16" w:rsidRPr="00E94B16" w:rsidRDefault="00E94B16" w:rsidP="00E94B16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E94B16">
              <w:rPr>
                <w:rFonts w:ascii="Arial" w:hAnsi="Arial" w:cs="Arial"/>
                <w:lang w:val="es-ES"/>
              </w:rPr>
              <w:t>3- Empresas de Viajes y Turismo.</w:t>
            </w:r>
          </w:p>
          <w:p w:rsidR="00E94B16" w:rsidRPr="00E94B16" w:rsidRDefault="00E94B16" w:rsidP="00E94B16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E94B16">
              <w:rPr>
                <w:rFonts w:ascii="Arial" w:hAnsi="Arial" w:cs="Arial"/>
                <w:lang w:val="es-ES"/>
              </w:rPr>
              <w:t xml:space="preserve">4- Alojamiento turístico en todas sus modalidades. </w:t>
            </w:r>
          </w:p>
          <w:p w:rsidR="00E94B16" w:rsidRDefault="00E94B16" w:rsidP="00E94B16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E94B16">
              <w:rPr>
                <w:rFonts w:ascii="Arial" w:hAnsi="Arial" w:cs="Arial"/>
                <w:lang w:val="es-ES"/>
              </w:rPr>
              <w:t>5- Transporte turístico.</w:t>
            </w:r>
          </w:p>
          <w:p w:rsidR="00E94B16" w:rsidRPr="00E94B16" w:rsidRDefault="00E94B16" w:rsidP="00E94B16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E94B16">
              <w:rPr>
                <w:rFonts w:ascii="Arial" w:hAnsi="Arial" w:cs="Arial"/>
                <w:lang w:val="es-ES"/>
              </w:rPr>
              <w:t>6- Transporte escolar</w:t>
            </w:r>
          </w:p>
          <w:p w:rsidR="00E94B16" w:rsidRPr="00E94B16" w:rsidRDefault="00E94B16" w:rsidP="00E94B16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E94B16">
              <w:rPr>
                <w:rFonts w:ascii="Arial" w:hAnsi="Arial" w:cs="Arial"/>
                <w:lang w:val="es-ES"/>
              </w:rPr>
              <w:t>7- Salones, espacios y servicios para eventos.</w:t>
            </w:r>
          </w:p>
          <w:p w:rsidR="00E94B16" w:rsidRPr="00E94B16" w:rsidRDefault="00E94B16" w:rsidP="00E94B16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E94B16">
              <w:rPr>
                <w:rFonts w:ascii="Arial" w:hAnsi="Arial" w:cs="Arial"/>
                <w:lang w:val="es-ES"/>
              </w:rPr>
              <w:t>8- Centros y espacios culturales.</w:t>
            </w:r>
          </w:p>
          <w:p w:rsidR="00E94B16" w:rsidRPr="00E94B16" w:rsidRDefault="00E94B16" w:rsidP="00E94B16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E94B16">
              <w:rPr>
                <w:rFonts w:ascii="Arial" w:hAnsi="Arial" w:cs="Arial"/>
                <w:lang w:val="es-ES"/>
              </w:rPr>
              <w:t>9- Productoras de eventos, audiovisuales, artísticas y técnicas.</w:t>
            </w:r>
          </w:p>
          <w:p w:rsidR="00E94B16" w:rsidRPr="00E94B16" w:rsidRDefault="00E94B16" w:rsidP="00E94B16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E94B16">
              <w:rPr>
                <w:rFonts w:ascii="Arial" w:hAnsi="Arial" w:cs="Arial"/>
                <w:lang w:val="es-ES"/>
              </w:rPr>
              <w:t>10- Compañías artísticas.</w:t>
            </w:r>
          </w:p>
          <w:p w:rsidR="00E94B16" w:rsidRPr="00E94B16" w:rsidRDefault="00E94B16" w:rsidP="00E94B16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E94B16">
              <w:rPr>
                <w:rFonts w:ascii="Arial" w:hAnsi="Arial" w:cs="Arial"/>
                <w:lang w:val="es-ES"/>
              </w:rPr>
              <w:t>11- Gestores y trabajadores culturales independientes.</w:t>
            </w:r>
          </w:p>
          <w:p w:rsidR="00E94B16" w:rsidRPr="00E94B16" w:rsidRDefault="00E94B16" w:rsidP="00E94B16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E94B16">
              <w:rPr>
                <w:rFonts w:ascii="Arial" w:hAnsi="Arial" w:cs="Arial"/>
                <w:lang w:val="es-ES"/>
              </w:rPr>
              <w:t>12- Academias e Institutos de danza.</w:t>
            </w:r>
          </w:p>
          <w:p w:rsidR="00E94B16" w:rsidRPr="00E94B16" w:rsidRDefault="00E94B16" w:rsidP="00E94B16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E94B16">
              <w:rPr>
                <w:rFonts w:ascii="Arial" w:hAnsi="Arial" w:cs="Arial"/>
                <w:lang w:val="es-ES"/>
              </w:rPr>
              <w:t>13- Jardines maternales.</w:t>
            </w:r>
          </w:p>
          <w:p w:rsidR="00E94B16" w:rsidRPr="00815E7C" w:rsidRDefault="00E94B16" w:rsidP="00E94B16">
            <w:pPr>
              <w:suppressAutoHyphens/>
              <w:ind w:right="50"/>
              <w:jc w:val="both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9F4F5B" w:rsidRPr="00E94B16" w:rsidRDefault="009F4F5B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  <w:lang w:val="es-ES"/>
              </w:rPr>
            </w:pPr>
          </w:p>
          <w:p w:rsidR="009F4F5B" w:rsidRDefault="009F4F5B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D244A2" w:rsidRDefault="00D244A2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D244A2" w:rsidRDefault="00D244A2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D244A2" w:rsidRDefault="00D244A2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D244A2" w:rsidRDefault="00D244A2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9F4F5B" w:rsidRDefault="009F4F5B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AE467A" w:rsidRDefault="00AE467A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</w:p>
          <w:p w:rsidR="005D2160" w:rsidRDefault="005D2160" w:rsidP="005D2160">
            <w:pPr>
              <w:suppressAutoHyphens/>
              <w:ind w:right="50"/>
              <w:jc w:val="both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5D2160" w:rsidRPr="005D2160" w:rsidRDefault="005D2160" w:rsidP="005D2160">
            <w:pPr>
              <w:suppressAutoHyphens/>
              <w:ind w:right="50"/>
              <w:jc w:val="both"/>
              <w:rPr>
                <w:rFonts w:ascii="Arial" w:hAnsi="Arial" w:cs="Arial"/>
                <w:b/>
                <w:strike/>
                <w:lang w:val="es-ES"/>
              </w:rPr>
            </w:pPr>
            <w:r w:rsidRPr="005D2160">
              <w:rPr>
                <w:rFonts w:ascii="Arial" w:hAnsi="Arial" w:cs="Arial"/>
                <w:u w:val="single"/>
                <w:lang w:val="es-ES"/>
              </w:rPr>
              <w:t>ARTÍCULO 58 TER.</w:t>
            </w:r>
            <w:r w:rsidRPr="005D2160">
              <w:rPr>
                <w:rFonts w:ascii="Arial" w:hAnsi="Arial" w:cs="Arial"/>
                <w:lang w:val="es-ES"/>
              </w:rPr>
              <w:t xml:space="preserve">-  Los contribuyentes del Régimen Simplificado Provincial del Impuesto sobre los Ingresos Brutos, que desarrollen las actividades </w:t>
            </w:r>
            <w:r>
              <w:rPr>
                <w:rFonts w:ascii="Arial" w:hAnsi="Arial" w:cs="Arial"/>
                <w:lang w:val="es-ES"/>
              </w:rPr>
              <w:t>detalladas en el Artículo 58 BIS</w:t>
            </w:r>
            <w:r w:rsidRPr="005D2160">
              <w:rPr>
                <w:rFonts w:ascii="Arial" w:hAnsi="Arial" w:cs="Arial"/>
                <w:lang w:val="es-ES"/>
              </w:rPr>
              <w:t xml:space="preserve">, no tributan el Impuesto Fijo Mensual que les corresponda en los meses de 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5D2160">
              <w:rPr>
                <w:rFonts w:ascii="Arial" w:hAnsi="Arial" w:cs="Arial"/>
                <w:b/>
                <w:strike/>
                <w:lang w:val="es-ES"/>
              </w:rPr>
              <w:t>Noviembre y Diciembre del año 2020.</w:t>
            </w:r>
          </w:p>
          <w:p w:rsidR="00E72E5C" w:rsidRPr="001A7279" w:rsidRDefault="00E72E5C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DD4A54" w:rsidRPr="009F4F5B" w:rsidRDefault="00DD4A54" w:rsidP="00DD4A54">
            <w:pPr>
              <w:suppressAutoHyphens/>
              <w:ind w:right="50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470655" w:rsidRPr="001A7279" w:rsidRDefault="00470655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5F2ECA" w:rsidRPr="001A7279" w:rsidRDefault="005F2ECA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687D4F" w:rsidRPr="001A7279" w:rsidRDefault="00687D4F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926F40" w:rsidRPr="001A7279" w:rsidRDefault="00926F40" w:rsidP="001A7279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8512" w:type="dxa"/>
          </w:tcPr>
          <w:p w:rsidR="00E72E5C" w:rsidRPr="001A7279" w:rsidRDefault="00E72E5C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522AEB" w:rsidRPr="001A7279" w:rsidRDefault="00522AEB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687D4F" w:rsidRPr="001A7279" w:rsidRDefault="00687D4F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85672" w:rsidRPr="001A7279" w:rsidRDefault="00A85672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E72E5C" w:rsidRPr="001A7279" w:rsidRDefault="00E72E5C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 w:rsidRPr="001A7279">
              <w:rPr>
                <w:rFonts w:ascii="Arial" w:hAnsi="Arial" w:cs="Arial"/>
                <w:b/>
                <w:spacing w:val="-2"/>
                <w:u w:val="single"/>
              </w:rPr>
              <w:t>PROYECTO LEY IMPOSITIVA 20</w:t>
            </w:r>
            <w:r w:rsidR="00EA03A7">
              <w:rPr>
                <w:rFonts w:ascii="Arial" w:hAnsi="Arial" w:cs="Arial"/>
                <w:b/>
                <w:spacing w:val="-2"/>
                <w:u w:val="single"/>
              </w:rPr>
              <w:t>21</w:t>
            </w:r>
          </w:p>
          <w:p w:rsidR="00233EB2" w:rsidRDefault="00233EB2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E94B16" w:rsidRPr="001A7279" w:rsidRDefault="00E94B16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C440FC" w:rsidRPr="001A7279" w:rsidRDefault="00C440FC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1A7279">
              <w:rPr>
                <w:rFonts w:ascii="Arial" w:hAnsi="Arial" w:cs="Arial"/>
                <w:spacing w:val="-2"/>
              </w:rPr>
              <w:t>TITULO VII</w:t>
            </w:r>
          </w:p>
          <w:p w:rsidR="00C440FC" w:rsidRPr="001A7279" w:rsidRDefault="00C440FC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1A7279">
              <w:rPr>
                <w:rFonts w:ascii="Arial" w:hAnsi="Arial" w:cs="Arial"/>
                <w:spacing w:val="-2"/>
              </w:rPr>
              <w:t>IMPUESTO SOBRE LOS INGRESOS BRUTOS</w:t>
            </w:r>
          </w:p>
          <w:p w:rsidR="00E72E5C" w:rsidRPr="001A7279" w:rsidRDefault="00E72E5C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</w:rPr>
            </w:pPr>
          </w:p>
          <w:p w:rsidR="00470655" w:rsidRDefault="00470655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2D693F" w:rsidRDefault="002D693F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2D693F" w:rsidRDefault="002D693F" w:rsidP="002D693F">
            <w:pPr>
              <w:suppressAutoHyphens/>
              <w:ind w:right="50"/>
              <w:jc w:val="both"/>
              <w:rPr>
                <w:rFonts w:ascii="Arial" w:hAnsi="Arial" w:cs="Arial"/>
                <w:b/>
                <w:strike/>
                <w:spacing w:val="-2"/>
                <w:lang w:val="es-ES"/>
              </w:rPr>
            </w:pPr>
            <w:r w:rsidRPr="002D693F">
              <w:rPr>
                <w:rFonts w:ascii="Arial" w:hAnsi="Arial" w:cs="Arial"/>
                <w:b/>
                <w:spacing w:val="-2"/>
                <w:u w:val="single"/>
                <w:lang w:val="es-ES"/>
              </w:rPr>
              <w:t>ARTÍCULO 50.-</w:t>
            </w:r>
            <w:r w:rsidRPr="002D693F">
              <w:rPr>
                <w:rFonts w:ascii="Arial" w:hAnsi="Arial" w:cs="Arial"/>
                <w:b/>
                <w:spacing w:val="-2"/>
                <w:lang w:val="es-ES"/>
              </w:rPr>
              <w:tab/>
            </w:r>
            <w:r w:rsidRPr="002D693F">
              <w:rPr>
                <w:rFonts w:ascii="Arial" w:hAnsi="Arial" w:cs="Arial"/>
                <w:spacing w:val="-2"/>
                <w:lang w:val="es-ES"/>
              </w:rPr>
              <w:t xml:space="preserve">Para la actividad de transporte jurisdiccional e interjurisdiccional de cargas desarrollada por contribuyentes radicados o no en la Provincia de San Juan, incluidas las cooperativas, la alícuota a aplicar será del </w:t>
            </w:r>
            <w:r w:rsidRPr="002D693F">
              <w:rPr>
                <w:rFonts w:ascii="Arial" w:hAnsi="Arial" w:cs="Arial"/>
                <w:b/>
                <w:spacing w:val="-2"/>
                <w:lang w:val="es-ES"/>
              </w:rPr>
              <w:t>dos por ciento (2,00%)</w:t>
            </w:r>
          </w:p>
          <w:p w:rsidR="002D693F" w:rsidRPr="002D693F" w:rsidRDefault="002D693F" w:rsidP="002D693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2D693F">
              <w:rPr>
                <w:rFonts w:ascii="Arial" w:hAnsi="Arial" w:cs="Arial"/>
                <w:spacing w:val="-2"/>
                <w:lang w:val="es-ES"/>
              </w:rPr>
              <w:t>Los contribuyentes que desarrollen esta actividad y tengan sus bienes inmuebles situados en la Provincia de San Juan y sus vehículos radicados en la misma, y tengan pagado al 31 de Diciembre del año inmediato anterior el Impuesto Inmobiliario y el Impuesto a la Radicación de Automotores, correspondiente a dichos bienes, que se encuentre vencido al 30 de Junio de dicho año, aplicarán la alícuota del uno con setenta y cinco centésimos por ciento (1,75%).</w:t>
            </w:r>
          </w:p>
          <w:p w:rsidR="002D693F" w:rsidRDefault="002D693F" w:rsidP="002D693F">
            <w:pPr>
              <w:suppressAutoHyphens/>
              <w:ind w:right="50"/>
              <w:jc w:val="both"/>
              <w:rPr>
                <w:rFonts w:ascii="Arial" w:hAnsi="Arial" w:cs="Arial"/>
                <w:b/>
                <w:strike/>
                <w:spacing w:val="-2"/>
                <w:lang w:val="es-ES"/>
              </w:rPr>
            </w:pPr>
            <w:r w:rsidRPr="002D693F">
              <w:rPr>
                <w:rFonts w:ascii="Arial" w:hAnsi="Arial" w:cs="Arial"/>
                <w:spacing w:val="-2"/>
                <w:lang w:val="es-ES"/>
              </w:rPr>
              <w:t xml:space="preserve">En el caso en que la Dirección General de Rentas determine diferencia a favor del fisco en el Impuesto sobre los Ingresos Brutos por la actividad citada para los contribuyentes radicados en la Provincia, se aplicará a la totalidad de la base imponible determinada la alícuota del </w:t>
            </w:r>
            <w:r w:rsidRPr="002D693F">
              <w:rPr>
                <w:rFonts w:ascii="Arial" w:hAnsi="Arial" w:cs="Arial"/>
                <w:b/>
                <w:spacing w:val="-2"/>
                <w:lang w:val="es-ES"/>
              </w:rPr>
              <w:t>dos por ciento (2,00%)</w:t>
            </w:r>
          </w:p>
          <w:p w:rsidR="002D693F" w:rsidRPr="002D693F" w:rsidRDefault="002D693F" w:rsidP="002D693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2D693F">
              <w:rPr>
                <w:rFonts w:ascii="Arial" w:hAnsi="Arial" w:cs="Arial"/>
                <w:spacing w:val="-2"/>
                <w:lang w:val="es-ES"/>
              </w:rPr>
              <w:t>La Dirección General de Rentas está facultada para determinar procedimientos, plazos, prórrogas, condiciones y todo lo necesario para implementar las disposiciones establecidas en los párrafos anteriores.</w:t>
            </w:r>
          </w:p>
          <w:p w:rsidR="002D693F" w:rsidRDefault="002D693F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2D693F" w:rsidRDefault="002D693F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B67B9F" w:rsidRDefault="00B67B9F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B67B9F" w:rsidRDefault="00B67B9F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2D693F" w:rsidRPr="002C1F6F" w:rsidRDefault="002D693F" w:rsidP="002D693F">
            <w:pPr>
              <w:pStyle w:val="Sangradetextonormal"/>
              <w:spacing w:after="0"/>
              <w:ind w:left="0"/>
              <w:jc w:val="both"/>
              <w:rPr>
                <w:rFonts w:cs="Arial"/>
              </w:rPr>
            </w:pPr>
            <w:r w:rsidRPr="003E4E94">
              <w:rPr>
                <w:rFonts w:cs="Arial"/>
                <w:b/>
                <w:u w:val="single"/>
              </w:rPr>
              <w:t>ARTÍCULO 51.-</w:t>
            </w:r>
            <w:r w:rsidRPr="002C1F6F">
              <w:rPr>
                <w:rFonts w:cs="Arial"/>
              </w:rPr>
              <w:t xml:space="preserve">En la actividad de producción primaria, desarrollada por contribuyentes que posean su explotación en actividad, ubicada o no en la Provincia de San Juan, la alícuota será del </w:t>
            </w:r>
            <w:r>
              <w:rPr>
                <w:rFonts w:cs="Arial"/>
              </w:rPr>
              <w:t xml:space="preserve"> </w:t>
            </w:r>
            <w:r w:rsidRPr="002D693F">
              <w:rPr>
                <w:rFonts w:cs="Arial"/>
                <w:b/>
              </w:rPr>
              <w:t>cero con setenta y cinco centésimos por ciento (0,75%),</w:t>
            </w:r>
            <w:r w:rsidRPr="002C1F6F">
              <w:rPr>
                <w:rFonts w:cs="Arial"/>
              </w:rPr>
              <w:t xml:space="preserve"> excepto en los casos en que el contribuyente encuadre en las disposiciones del Artículo 130, Inciso o) del Código Tributario.</w:t>
            </w:r>
          </w:p>
          <w:p w:rsidR="002D693F" w:rsidRDefault="002D693F" w:rsidP="002D693F">
            <w:pPr>
              <w:pStyle w:val="Sangradetextonormal"/>
              <w:spacing w:after="0"/>
              <w:ind w:left="0" w:firstLine="2127"/>
              <w:jc w:val="both"/>
              <w:rPr>
                <w:rFonts w:cs="Arial"/>
              </w:rPr>
            </w:pPr>
            <w:r w:rsidRPr="002C1F6F">
              <w:rPr>
                <w:rFonts w:cs="Arial"/>
              </w:rPr>
              <w:t>En la actividad de producción de bienes (industria manufacturera), desarrollada por contribuyentes que posean su establecimiento industrial en actividad, ubicado o no en la Provincia de San Juan, la alícuota será del uno con cincuenta centésimos por ciento (1,50%), excepto en los casos en que el contribuyente encuadre en las disposiciones del Artículo 130, Inciso p) del Código Tributario. Las ventas a consumidores finales no están incluidas en este párrafo, debiendo aplicárseles la alícuota general.</w:t>
            </w:r>
          </w:p>
          <w:p w:rsidR="002D693F" w:rsidRPr="002D693F" w:rsidRDefault="002D693F" w:rsidP="002D693F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  <w:lang w:val="es-ES"/>
              </w:rPr>
            </w:pPr>
          </w:p>
          <w:p w:rsidR="00B67B9F" w:rsidRDefault="00B67B9F" w:rsidP="00B67B9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b/>
                <w:spacing w:val="-2"/>
                <w:u w:val="single"/>
                <w:lang w:val="es-ES"/>
              </w:rPr>
              <w:t>ARTÍCULO 55.-</w:t>
            </w:r>
            <w:r w:rsidRPr="00B67B9F">
              <w:rPr>
                <w:rFonts w:ascii="Arial" w:hAnsi="Arial" w:cs="Arial"/>
                <w:b/>
                <w:spacing w:val="-2"/>
                <w:lang w:val="es-ES"/>
              </w:rPr>
              <w:tab/>
            </w:r>
            <w:r w:rsidRPr="00B67B9F">
              <w:rPr>
                <w:rFonts w:ascii="Arial" w:hAnsi="Arial" w:cs="Arial"/>
                <w:spacing w:val="-2"/>
                <w:lang w:val="es-ES"/>
              </w:rPr>
              <w:t>Establécense para las actividades que se detallan a continuación las siguientes alícuotas:</w:t>
            </w:r>
          </w:p>
          <w:p w:rsidR="00B67B9F" w:rsidRPr="00B67B9F" w:rsidRDefault="00B67B9F" w:rsidP="00B67B9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  <w:p w:rsidR="00B67B9F" w:rsidRPr="00B67B9F" w:rsidRDefault="00B67B9F" w:rsidP="00B67B9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spacing w:val="-2"/>
                <w:lang w:val="es-ES"/>
              </w:rPr>
              <w:t>INCISO A: Del cuatro por ciento (4%):</w:t>
            </w:r>
          </w:p>
          <w:p w:rsidR="00B67B9F" w:rsidRPr="00B67B9F" w:rsidRDefault="00B67B9F" w:rsidP="00B67B9F">
            <w:pPr>
              <w:suppressAutoHyphens/>
              <w:ind w:left="1276" w:right="50" w:hanging="283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spacing w:val="-2"/>
                <w:lang w:val="es-ES"/>
              </w:rPr>
              <w:t>1- Empresas o personas dedicadas a la negociación de  órdenes de compra.</w:t>
            </w:r>
          </w:p>
          <w:p w:rsidR="00B67B9F" w:rsidRPr="00B67B9F" w:rsidRDefault="00B67B9F" w:rsidP="00B67B9F">
            <w:pPr>
              <w:suppressAutoHyphens/>
              <w:ind w:left="1276" w:right="50" w:hanging="283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spacing w:val="-2"/>
                <w:lang w:val="es-ES"/>
              </w:rPr>
              <w:t xml:space="preserve">2- Los servicios prestados por agencias de viajes o empresas de </w:t>
            </w:r>
            <w:r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B67B9F">
              <w:rPr>
                <w:rFonts w:ascii="Arial" w:hAnsi="Arial" w:cs="Arial"/>
                <w:spacing w:val="-2"/>
                <w:lang w:val="es-ES"/>
              </w:rPr>
              <w:t>turismo. Excepto por aquellas actividades que se encuentren alcanzadas por el Artículo 56, Inciso 7.</w:t>
            </w:r>
          </w:p>
          <w:p w:rsidR="00B67B9F" w:rsidRDefault="00B67B9F" w:rsidP="00B67B9F">
            <w:pPr>
              <w:suppressAutoHyphens/>
              <w:ind w:right="50" w:firstLine="993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spacing w:val="-2"/>
                <w:lang w:val="es-ES"/>
              </w:rPr>
              <w:t>3- Medicina Pre-paga.</w:t>
            </w:r>
          </w:p>
          <w:p w:rsidR="00B67B9F" w:rsidRPr="00B67B9F" w:rsidRDefault="00B67B9F" w:rsidP="00B67B9F">
            <w:pPr>
              <w:suppressAutoHyphens/>
              <w:ind w:left="1276" w:right="50" w:hanging="283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b/>
                <w:spacing w:val="-2"/>
                <w:lang w:val="es-ES"/>
              </w:rPr>
              <w:t>4-Servicios de proveedores de acceso a internet y servicio de telecomunicación vía internet.</w:t>
            </w:r>
          </w:p>
          <w:p w:rsidR="00B67B9F" w:rsidRPr="00B67B9F" w:rsidRDefault="00B67B9F" w:rsidP="00B67B9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spacing w:val="-2"/>
                <w:lang w:val="es-ES"/>
              </w:rPr>
              <w:t>INCISO B: Del seis con cincuenta centésimos por ciento (6,50%):</w:t>
            </w:r>
          </w:p>
          <w:p w:rsidR="00B67B9F" w:rsidRDefault="00B67B9F" w:rsidP="00B67B9F">
            <w:pPr>
              <w:suppressAutoHyphens/>
              <w:ind w:left="1276" w:right="50" w:hanging="283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spacing w:val="-2"/>
                <w:lang w:val="es-ES"/>
              </w:rPr>
              <w:t>1- Préstamos de dinero, descuento de documentos de terce</w:t>
            </w:r>
            <w:r w:rsidRPr="00B67B9F">
              <w:rPr>
                <w:rFonts w:ascii="Arial" w:hAnsi="Arial" w:cs="Arial"/>
                <w:spacing w:val="-2"/>
                <w:lang w:val="es-ES"/>
              </w:rPr>
              <w:softHyphen/>
              <w:t>ros, operaciones efectuadas por los bancos y otras instituciones sujetas al régimen de la Ley de Entidades Financieras.</w:t>
            </w:r>
          </w:p>
          <w:p w:rsidR="002D693F" w:rsidRDefault="002D693F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2D693F" w:rsidRDefault="002D693F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B67B9F" w:rsidRPr="00B67B9F" w:rsidRDefault="00B67B9F" w:rsidP="00B67B9F">
            <w:pPr>
              <w:suppressAutoHyphens/>
              <w:ind w:left="1276" w:right="50" w:hanging="283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spacing w:val="-2"/>
                <w:lang w:val="es-ES"/>
              </w:rPr>
              <w:t>2- Préstamos de dinero (con garantía hipotecaria, prenda</w:t>
            </w:r>
            <w:r w:rsidRPr="00B67B9F">
              <w:rPr>
                <w:rFonts w:ascii="Arial" w:hAnsi="Arial" w:cs="Arial"/>
                <w:spacing w:val="-2"/>
                <w:lang w:val="es-ES"/>
              </w:rPr>
              <w:softHyphen/>
              <w:t>ria, real o personal) y descuentos de documentos de terceros excluidas las actividades regidas por la Ley de Entidades Financieras.</w:t>
            </w:r>
          </w:p>
          <w:p w:rsidR="00B67B9F" w:rsidRPr="00B67B9F" w:rsidRDefault="00B67B9F" w:rsidP="00B67B9F">
            <w:pPr>
              <w:suppressAutoHyphens/>
              <w:ind w:right="50" w:firstLine="993"/>
              <w:jc w:val="both"/>
              <w:rPr>
                <w:rFonts w:ascii="Arial" w:hAnsi="Arial" w:cs="Arial"/>
                <w:spacing w:val="-2"/>
                <w:lang w:val="es-ES"/>
              </w:rPr>
            </w:pPr>
            <w:r w:rsidRPr="00B67B9F">
              <w:rPr>
                <w:rFonts w:ascii="Arial" w:hAnsi="Arial" w:cs="Arial"/>
                <w:spacing w:val="-2"/>
                <w:lang w:val="es-ES"/>
              </w:rPr>
              <w:t>3- Servicios de telefonía móvil.</w:t>
            </w:r>
          </w:p>
          <w:p w:rsidR="00B67B9F" w:rsidRPr="00B67B9F" w:rsidRDefault="00B67B9F" w:rsidP="00B67B9F">
            <w:pPr>
              <w:suppressAutoHyphens/>
              <w:ind w:right="50"/>
              <w:jc w:val="both"/>
              <w:rPr>
                <w:rFonts w:ascii="Arial" w:hAnsi="Arial" w:cs="Arial"/>
                <w:spacing w:val="-2"/>
                <w:lang w:val="es-ES"/>
              </w:rPr>
            </w:pPr>
          </w:p>
          <w:p w:rsidR="002D693F" w:rsidRDefault="002D693F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2D693F" w:rsidRDefault="002D693F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2D693F" w:rsidRDefault="002D693F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lang w:val="es-ES"/>
              </w:rPr>
            </w:pPr>
          </w:p>
          <w:p w:rsidR="00815E7C" w:rsidRPr="00914B77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914B77">
              <w:rPr>
                <w:rFonts w:ascii="Arial" w:hAnsi="Arial" w:cs="Arial"/>
                <w:u w:val="single"/>
                <w:lang w:val="es-ES"/>
              </w:rPr>
              <w:t>ARTÍCULO 58 B</w:t>
            </w:r>
            <w:r w:rsidR="005D2160">
              <w:rPr>
                <w:rFonts w:ascii="Arial" w:hAnsi="Arial" w:cs="Arial"/>
                <w:u w:val="single"/>
                <w:lang w:val="es-ES"/>
              </w:rPr>
              <w:t>IS</w:t>
            </w:r>
            <w:r w:rsidRPr="00914B77">
              <w:rPr>
                <w:rFonts w:ascii="Arial" w:hAnsi="Arial" w:cs="Arial"/>
                <w:lang w:val="es-ES"/>
              </w:rPr>
              <w:t>.-</w:t>
            </w:r>
            <w:r w:rsidR="00914B77" w:rsidRPr="00914B77">
              <w:rPr>
                <w:rFonts w:ascii="Arial" w:hAnsi="Arial" w:cs="Arial"/>
                <w:lang w:val="es-ES"/>
              </w:rPr>
              <w:t xml:space="preserve"> Se establece</w:t>
            </w:r>
            <w:r w:rsidR="00D20BDA">
              <w:rPr>
                <w:rFonts w:ascii="Arial" w:hAnsi="Arial" w:cs="Arial"/>
                <w:lang w:val="es-ES"/>
              </w:rPr>
              <w:t xml:space="preserve"> una alícuota del Cero p</w:t>
            </w:r>
            <w:r w:rsidRPr="00914B77">
              <w:rPr>
                <w:rFonts w:ascii="Arial" w:hAnsi="Arial" w:cs="Arial"/>
                <w:lang w:val="es-ES"/>
              </w:rPr>
              <w:t xml:space="preserve">or Ciento (0.00%) exclusivamente  para los  meses de </w:t>
            </w:r>
            <w:r w:rsidRPr="00914B77">
              <w:rPr>
                <w:rFonts w:ascii="Arial" w:hAnsi="Arial" w:cs="Arial"/>
                <w:b/>
                <w:lang w:val="es-ES"/>
              </w:rPr>
              <w:t>Enero y Febrero del año 2021</w:t>
            </w:r>
            <w:r w:rsidRPr="00914B77">
              <w:rPr>
                <w:rFonts w:ascii="Arial" w:hAnsi="Arial" w:cs="Arial"/>
                <w:lang w:val="es-ES"/>
              </w:rPr>
              <w:t xml:space="preserve">, en las siguientes actividades:  </w:t>
            </w:r>
          </w:p>
          <w:p w:rsidR="00815E7C" w:rsidRPr="00914B77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914B77">
              <w:rPr>
                <w:rFonts w:ascii="Arial" w:hAnsi="Arial" w:cs="Arial"/>
                <w:lang w:val="es-ES"/>
              </w:rPr>
              <w:t>1- Prestadores de servicios turísticos.</w:t>
            </w:r>
          </w:p>
          <w:p w:rsidR="00815E7C" w:rsidRPr="00914B77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914B77">
              <w:rPr>
                <w:rFonts w:ascii="Arial" w:hAnsi="Arial" w:cs="Arial"/>
                <w:lang w:val="es-ES"/>
              </w:rPr>
              <w:t>2- Guías de turismo y de montaña.</w:t>
            </w:r>
          </w:p>
          <w:p w:rsidR="00815E7C" w:rsidRPr="00914B77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914B77">
              <w:rPr>
                <w:rFonts w:ascii="Arial" w:hAnsi="Arial" w:cs="Arial"/>
                <w:lang w:val="es-ES"/>
              </w:rPr>
              <w:t>3- Empresas de Viajes y Turismo.</w:t>
            </w:r>
          </w:p>
          <w:p w:rsidR="00815E7C" w:rsidRPr="00914B77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914B77">
              <w:rPr>
                <w:rFonts w:ascii="Arial" w:hAnsi="Arial" w:cs="Arial"/>
                <w:lang w:val="es-ES"/>
              </w:rPr>
              <w:t xml:space="preserve">4- Alojamiento turístico en todas sus modalidades. </w:t>
            </w:r>
          </w:p>
          <w:p w:rsidR="00815E7C" w:rsidRPr="00914B77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914B77">
              <w:rPr>
                <w:rFonts w:ascii="Arial" w:hAnsi="Arial" w:cs="Arial"/>
                <w:lang w:val="es-ES"/>
              </w:rPr>
              <w:t>5- Transporte turístico.</w:t>
            </w:r>
          </w:p>
          <w:p w:rsidR="00815E7C" w:rsidRPr="00914B77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914B77">
              <w:rPr>
                <w:rFonts w:ascii="Arial" w:hAnsi="Arial" w:cs="Arial"/>
                <w:lang w:val="es-ES"/>
              </w:rPr>
              <w:t xml:space="preserve">6- Transporte escolar </w:t>
            </w:r>
          </w:p>
          <w:p w:rsidR="00815E7C" w:rsidRPr="00914B77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914B77">
              <w:rPr>
                <w:rFonts w:ascii="Arial" w:hAnsi="Arial" w:cs="Arial"/>
                <w:lang w:val="es-ES"/>
              </w:rPr>
              <w:t>7- Salones, espacios y servicios para eventos.</w:t>
            </w:r>
          </w:p>
          <w:p w:rsidR="00815E7C" w:rsidRPr="00914B77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914B77">
              <w:rPr>
                <w:rFonts w:ascii="Arial" w:hAnsi="Arial" w:cs="Arial"/>
                <w:lang w:val="es-ES"/>
              </w:rPr>
              <w:t>8- Centros y espacios culturales.</w:t>
            </w:r>
          </w:p>
          <w:p w:rsidR="00815E7C" w:rsidRPr="00914B77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914B77">
              <w:rPr>
                <w:rFonts w:ascii="Arial" w:hAnsi="Arial" w:cs="Arial"/>
                <w:lang w:val="es-ES"/>
              </w:rPr>
              <w:t>9- Productoras de eventos, audiovisuales, artísticas y técnicas.</w:t>
            </w:r>
          </w:p>
          <w:p w:rsidR="00815E7C" w:rsidRPr="00914B77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914B77">
              <w:rPr>
                <w:rFonts w:ascii="Arial" w:hAnsi="Arial" w:cs="Arial"/>
                <w:lang w:val="es-ES"/>
              </w:rPr>
              <w:t>10- Compañías artísticas.</w:t>
            </w:r>
          </w:p>
          <w:p w:rsidR="00815E7C" w:rsidRPr="00914B77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914B77">
              <w:rPr>
                <w:rFonts w:ascii="Arial" w:hAnsi="Arial" w:cs="Arial"/>
                <w:lang w:val="es-ES"/>
              </w:rPr>
              <w:t>11- Gestores y trabajadores culturales independientes.</w:t>
            </w:r>
          </w:p>
          <w:p w:rsidR="00815E7C" w:rsidRPr="00914B77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914B77">
              <w:rPr>
                <w:rFonts w:ascii="Arial" w:hAnsi="Arial" w:cs="Arial"/>
                <w:lang w:val="es-ES"/>
              </w:rPr>
              <w:t>12- Academias e Institutos de danza.</w:t>
            </w:r>
          </w:p>
          <w:p w:rsidR="00815E7C" w:rsidRPr="00914B77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914B77">
              <w:rPr>
                <w:rFonts w:ascii="Arial" w:hAnsi="Arial" w:cs="Arial"/>
                <w:lang w:val="es-ES"/>
              </w:rPr>
              <w:t>13- Jardines maternales.</w:t>
            </w:r>
          </w:p>
          <w:p w:rsidR="00815E7C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  <w:r w:rsidRPr="009F4F5B">
              <w:rPr>
                <w:rFonts w:ascii="Arial" w:hAnsi="Arial" w:cs="Arial"/>
                <w:b/>
                <w:lang w:val="es-ES"/>
              </w:rPr>
              <w:t>Para los restantes meses del año fiscal 2021, dichas actividades tributan a la alícuota establecida en la presente Ley Impositiva</w:t>
            </w:r>
            <w:r w:rsidRPr="00815E7C">
              <w:rPr>
                <w:rFonts w:ascii="Arial" w:hAnsi="Arial" w:cs="Arial"/>
                <w:lang w:val="es-ES"/>
              </w:rPr>
              <w:t>.</w:t>
            </w:r>
          </w:p>
          <w:p w:rsidR="00914B77" w:rsidRDefault="00914B77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</w:p>
          <w:p w:rsidR="00914B77" w:rsidRDefault="00914B77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</w:p>
          <w:p w:rsidR="00D244A2" w:rsidRDefault="00D244A2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</w:p>
          <w:p w:rsidR="00D244A2" w:rsidRDefault="00D244A2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</w:p>
          <w:p w:rsidR="00D244A2" w:rsidRDefault="00D244A2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</w:p>
          <w:p w:rsidR="00D244A2" w:rsidRDefault="00D244A2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</w:p>
          <w:p w:rsidR="00914B77" w:rsidRPr="00815E7C" w:rsidRDefault="00914B77" w:rsidP="00815E7C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</w:p>
          <w:p w:rsidR="00815E7C" w:rsidRPr="00815E7C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815E7C" w:rsidRPr="009F4F5B" w:rsidRDefault="005D2160" w:rsidP="00815E7C">
            <w:pPr>
              <w:suppressAutoHyphens/>
              <w:ind w:right="5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>ARTÍCULO 58 TER</w:t>
            </w:r>
            <w:r w:rsidR="00815E7C" w:rsidRPr="009F4F5B">
              <w:rPr>
                <w:rFonts w:ascii="Arial" w:hAnsi="Arial" w:cs="Arial"/>
                <w:b/>
                <w:u w:val="single"/>
                <w:lang w:val="es-ES"/>
              </w:rPr>
              <w:t>.</w:t>
            </w:r>
            <w:r w:rsidR="00815E7C" w:rsidRPr="009F4F5B">
              <w:rPr>
                <w:rFonts w:ascii="Arial" w:hAnsi="Arial" w:cs="Arial"/>
                <w:b/>
                <w:lang w:val="es-ES"/>
              </w:rPr>
              <w:t xml:space="preserve">- </w:t>
            </w:r>
            <w:r w:rsidR="00815E7C" w:rsidRPr="005D2160">
              <w:rPr>
                <w:rFonts w:ascii="Arial" w:hAnsi="Arial" w:cs="Arial"/>
                <w:lang w:val="es-ES"/>
              </w:rPr>
              <w:t xml:space="preserve">Los contribuyentes del Régimen Simplificado Provincial del Impuesto sobre los Ingresos Brutos, que desarrollen las actividades </w:t>
            </w:r>
            <w:r w:rsidR="006106B9">
              <w:rPr>
                <w:rFonts w:ascii="Arial" w:hAnsi="Arial" w:cs="Arial"/>
                <w:lang w:val="es-ES"/>
              </w:rPr>
              <w:t>detalladas en el Artículo 58 BIS</w:t>
            </w:r>
            <w:r w:rsidR="00815E7C" w:rsidRPr="005D2160">
              <w:rPr>
                <w:rFonts w:ascii="Arial" w:hAnsi="Arial" w:cs="Arial"/>
                <w:lang w:val="es-ES"/>
              </w:rPr>
              <w:t>, no tributan el Impuesto Fijo Mensual que les corresponda en los meses de</w:t>
            </w:r>
            <w:r w:rsidR="00815E7C" w:rsidRPr="009F4F5B">
              <w:rPr>
                <w:rFonts w:ascii="Arial" w:hAnsi="Arial" w:cs="Arial"/>
                <w:b/>
                <w:lang w:val="es-ES"/>
              </w:rPr>
              <w:t xml:space="preserve"> Enero y Febrero del año 2021.</w:t>
            </w:r>
          </w:p>
          <w:p w:rsidR="00815E7C" w:rsidRPr="009F4F5B" w:rsidRDefault="00815E7C" w:rsidP="00815E7C">
            <w:pPr>
              <w:suppressAutoHyphens/>
              <w:ind w:right="50"/>
              <w:jc w:val="both"/>
              <w:rPr>
                <w:rFonts w:ascii="Arial" w:hAnsi="Arial" w:cs="Arial"/>
                <w:b/>
                <w:lang w:val="es-ES"/>
              </w:rPr>
            </w:pPr>
            <w:r w:rsidRPr="009F4F5B">
              <w:rPr>
                <w:rFonts w:ascii="Arial" w:hAnsi="Arial" w:cs="Arial"/>
                <w:b/>
                <w:lang w:val="es-ES"/>
              </w:rPr>
              <w:t>Para los restantes meses del año fiscal 2021, deben tributar el Impuesto Fijo Mensual que a tal fin disponga la Dirección General de Rentas, conforme la facultad establecida en la Ley Nº 151-I, Artículo 131 Bis Inciso 2.</w:t>
            </w:r>
          </w:p>
          <w:p w:rsidR="00687D4F" w:rsidRPr="00815E7C" w:rsidRDefault="00687D4F" w:rsidP="001A7279">
            <w:pPr>
              <w:suppressAutoHyphens/>
              <w:ind w:right="50"/>
              <w:jc w:val="both"/>
              <w:rPr>
                <w:rFonts w:ascii="Arial" w:hAnsi="Arial" w:cs="Arial"/>
                <w:lang w:val="es-ES"/>
              </w:rPr>
            </w:pPr>
          </w:p>
          <w:p w:rsidR="00CD035F" w:rsidRPr="001A7279" w:rsidRDefault="00CD035F" w:rsidP="009D39F8">
            <w:pPr>
              <w:tabs>
                <w:tab w:val="left" w:pos="103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1033" w:right="50" w:hanging="1033"/>
              <w:jc w:val="both"/>
              <w:rPr>
                <w:rFonts w:ascii="Arial" w:hAnsi="Arial" w:cs="Arial"/>
              </w:rPr>
            </w:pPr>
          </w:p>
        </w:tc>
      </w:tr>
    </w:tbl>
    <w:p w:rsidR="00997F46" w:rsidRPr="001A7279" w:rsidRDefault="00997F46" w:rsidP="001A7279">
      <w:pPr>
        <w:rPr>
          <w:rFonts w:ascii="Arial" w:hAnsi="Arial" w:cs="Arial"/>
        </w:rPr>
      </w:pPr>
    </w:p>
    <w:sectPr w:rsidR="00997F46" w:rsidRPr="001A7279" w:rsidSect="00687D4F">
      <w:footerReference w:type="even" r:id="rId7"/>
      <w:footerReference w:type="default" r:id="rId8"/>
      <w:pgSz w:w="20163" w:h="12242" w:orient="landscape" w:code="5"/>
      <w:pgMar w:top="99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AF" w:rsidRDefault="00591AAF">
      <w:r>
        <w:separator/>
      </w:r>
    </w:p>
  </w:endnote>
  <w:endnote w:type="continuationSeparator" w:id="0">
    <w:p w:rsidR="00591AAF" w:rsidRDefault="0059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6C" w:rsidRDefault="00803DE8" w:rsidP="000021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6B6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6B6C" w:rsidRDefault="00F96B6C" w:rsidP="00997F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6C" w:rsidRDefault="00803DE8" w:rsidP="000021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6B6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1F8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96B6C" w:rsidRDefault="00F96B6C" w:rsidP="00997F4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AF" w:rsidRDefault="00591AAF">
      <w:r>
        <w:separator/>
      </w:r>
    </w:p>
  </w:footnote>
  <w:footnote w:type="continuationSeparator" w:id="0">
    <w:p w:rsidR="00591AAF" w:rsidRDefault="0059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104644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39D1B0B"/>
    <w:multiLevelType w:val="hybridMultilevel"/>
    <w:tmpl w:val="10F60AE4"/>
    <w:lvl w:ilvl="0" w:tplc="1D06B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3DF3"/>
    <w:multiLevelType w:val="singleLevel"/>
    <w:tmpl w:val="70EA5B08"/>
    <w:lvl w:ilvl="0">
      <w:start w:val="1"/>
      <w:numFmt w:val="lowerLetter"/>
      <w:lvlText w:val="%1)"/>
      <w:lvlJc w:val="left"/>
      <w:pPr>
        <w:tabs>
          <w:tab w:val="num" w:pos="1535"/>
        </w:tabs>
        <w:ind w:left="1535" w:hanging="360"/>
      </w:pPr>
      <w:rPr>
        <w:rFonts w:ascii="Arial" w:eastAsia="Times New Roman" w:hAnsi="Arial" w:cs="Times New Roman"/>
      </w:rPr>
    </w:lvl>
  </w:abstractNum>
  <w:abstractNum w:abstractNumId="3" w15:restartNumberingAfterBreak="0">
    <w:nsid w:val="25543122"/>
    <w:multiLevelType w:val="hybridMultilevel"/>
    <w:tmpl w:val="A5D2034E"/>
    <w:lvl w:ilvl="0" w:tplc="0F5CAC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17D6E71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F315B7"/>
    <w:multiLevelType w:val="hybridMultilevel"/>
    <w:tmpl w:val="D80AA6D4"/>
    <w:lvl w:ilvl="0" w:tplc="FFFFFFFF">
      <w:start w:val="1"/>
      <w:numFmt w:val="decimal"/>
      <w:lvlText w:val="%1-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5" w15:restartNumberingAfterBreak="0">
    <w:nsid w:val="355123C7"/>
    <w:multiLevelType w:val="hybridMultilevel"/>
    <w:tmpl w:val="CD68B4C2"/>
    <w:lvl w:ilvl="0" w:tplc="7E641E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BA314A0"/>
    <w:multiLevelType w:val="hybridMultilevel"/>
    <w:tmpl w:val="EF9CFBD4"/>
    <w:lvl w:ilvl="0" w:tplc="17D6E71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0A0856"/>
    <w:multiLevelType w:val="hybridMultilevel"/>
    <w:tmpl w:val="D80AA6D4"/>
    <w:lvl w:ilvl="0" w:tplc="FFFFFFFF">
      <w:start w:val="1"/>
      <w:numFmt w:val="decimal"/>
      <w:lvlText w:val="%1-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8" w15:restartNumberingAfterBreak="0">
    <w:nsid w:val="5EEB24E5"/>
    <w:multiLevelType w:val="hybridMultilevel"/>
    <w:tmpl w:val="EC700EE0"/>
    <w:lvl w:ilvl="0" w:tplc="C4BA9AE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0E03427"/>
    <w:multiLevelType w:val="hybridMultilevel"/>
    <w:tmpl w:val="FF3A141C"/>
    <w:lvl w:ilvl="0" w:tplc="E1843EB2">
      <w:start w:val="1"/>
      <w:numFmt w:val="decimal"/>
      <w:lvlText w:val="%1)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AB25F9"/>
    <w:multiLevelType w:val="hybridMultilevel"/>
    <w:tmpl w:val="115E99C0"/>
    <w:lvl w:ilvl="0" w:tplc="0F5C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D4F23"/>
    <w:multiLevelType w:val="hybridMultilevel"/>
    <w:tmpl w:val="AE707D1A"/>
    <w:lvl w:ilvl="0" w:tplc="E1843EB2">
      <w:start w:val="1"/>
      <w:numFmt w:val="decimal"/>
      <w:lvlText w:val="%1)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DF206594">
      <w:start w:val="1"/>
      <w:numFmt w:val="decimal"/>
      <w:lvlText w:val="%2-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46"/>
    <w:rsid w:val="00002187"/>
    <w:rsid w:val="0000501A"/>
    <w:rsid w:val="00012F7F"/>
    <w:rsid w:val="00024FBF"/>
    <w:rsid w:val="00026E69"/>
    <w:rsid w:val="00046AB9"/>
    <w:rsid w:val="00054DCA"/>
    <w:rsid w:val="000553AC"/>
    <w:rsid w:val="00065F05"/>
    <w:rsid w:val="000736B4"/>
    <w:rsid w:val="000756C1"/>
    <w:rsid w:val="00090588"/>
    <w:rsid w:val="00092151"/>
    <w:rsid w:val="00095A73"/>
    <w:rsid w:val="000A2043"/>
    <w:rsid w:val="000A3429"/>
    <w:rsid w:val="000A6B5A"/>
    <w:rsid w:val="000B3AB3"/>
    <w:rsid w:val="000C1B12"/>
    <w:rsid w:val="000C4234"/>
    <w:rsid w:val="000D17E6"/>
    <w:rsid w:val="000D2CFD"/>
    <w:rsid w:val="000E2CB8"/>
    <w:rsid w:val="000E40D7"/>
    <w:rsid w:val="0010416A"/>
    <w:rsid w:val="00104918"/>
    <w:rsid w:val="00111096"/>
    <w:rsid w:val="00120E24"/>
    <w:rsid w:val="0012692B"/>
    <w:rsid w:val="001270F7"/>
    <w:rsid w:val="00144B9B"/>
    <w:rsid w:val="00145780"/>
    <w:rsid w:val="001573B2"/>
    <w:rsid w:val="00162979"/>
    <w:rsid w:val="001667E0"/>
    <w:rsid w:val="00172153"/>
    <w:rsid w:val="00182E1C"/>
    <w:rsid w:val="00191D1C"/>
    <w:rsid w:val="00194CAB"/>
    <w:rsid w:val="001975BA"/>
    <w:rsid w:val="001A6D42"/>
    <w:rsid w:val="001A7279"/>
    <w:rsid w:val="001C0491"/>
    <w:rsid w:val="001C1F8D"/>
    <w:rsid w:val="001C3D3C"/>
    <w:rsid w:val="001D1E6C"/>
    <w:rsid w:val="001D4741"/>
    <w:rsid w:val="001E29CE"/>
    <w:rsid w:val="001E3FC5"/>
    <w:rsid w:val="001F0F56"/>
    <w:rsid w:val="001F495F"/>
    <w:rsid w:val="001F4A3D"/>
    <w:rsid w:val="00201A19"/>
    <w:rsid w:val="00201F84"/>
    <w:rsid w:val="002050D1"/>
    <w:rsid w:val="00206376"/>
    <w:rsid w:val="0020682B"/>
    <w:rsid w:val="002149A7"/>
    <w:rsid w:val="00216EBB"/>
    <w:rsid w:val="00217446"/>
    <w:rsid w:val="00222FB9"/>
    <w:rsid w:val="002245FC"/>
    <w:rsid w:val="0023125C"/>
    <w:rsid w:val="00233EB2"/>
    <w:rsid w:val="00236A9C"/>
    <w:rsid w:val="00237EF3"/>
    <w:rsid w:val="002460D9"/>
    <w:rsid w:val="00247173"/>
    <w:rsid w:val="00255C6C"/>
    <w:rsid w:val="002565B7"/>
    <w:rsid w:val="00257AAD"/>
    <w:rsid w:val="0026028B"/>
    <w:rsid w:val="002606A4"/>
    <w:rsid w:val="002638A6"/>
    <w:rsid w:val="00267A6A"/>
    <w:rsid w:val="00272E85"/>
    <w:rsid w:val="00280D86"/>
    <w:rsid w:val="00297269"/>
    <w:rsid w:val="00297322"/>
    <w:rsid w:val="002B4040"/>
    <w:rsid w:val="002B5FB9"/>
    <w:rsid w:val="002C26AC"/>
    <w:rsid w:val="002D693F"/>
    <w:rsid w:val="002F3D8D"/>
    <w:rsid w:val="002F576F"/>
    <w:rsid w:val="0030250A"/>
    <w:rsid w:val="003046E5"/>
    <w:rsid w:val="0030601C"/>
    <w:rsid w:val="00314929"/>
    <w:rsid w:val="00320898"/>
    <w:rsid w:val="00326936"/>
    <w:rsid w:val="0033146B"/>
    <w:rsid w:val="00331F3B"/>
    <w:rsid w:val="003335C7"/>
    <w:rsid w:val="003373E3"/>
    <w:rsid w:val="0034643F"/>
    <w:rsid w:val="00351DBE"/>
    <w:rsid w:val="00351F82"/>
    <w:rsid w:val="0035544B"/>
    <w:rsid w:val="0035558E"/>
    <w:rsid w:val="00362A3A"/>
    <w:rsid w:val="00364FED"/>
    <w:rsid w:val="00365748"/>
    <w:rsid w:val="00371EB4"/>
    <w:rsid w:val="00372CFD"/>
    <w:rsid w:val="00394F1C"/>
    <w:rsid w:val="003B2DA8"/>
    <w:rsid w:val="003C323C"/>
    <w:rsid w:val="003C3430"/>
    <w:rsid w:val="003C390C"/>
    <w:rsid w:val="003C76FE"/>
    <w:rsid w:val="003D3B3B"/>
    <w:rsid w:val="003E3960"/>
    <w:rsid w:val="003E67D4"/>
    <w:rsid w:val="004050BA"/>
    <w:rsid w:val="00410539"/>
    <w:rsid w:val="0041579E"/>
    <w:rsid w:val="00417546"/>
    <w:rsid w:val="00420F30"/>
    <w:rsid w:val="00426621"/>
    <w:rsid w:val="004269E5"/>
    <w:rsid w:val="0043092E"/>
    <w:rsid w:val="00431F4D"/>
    <w:rsid w:val="00444E6F"/>
    <w:rsid w:val="004524DE"/>
    <w:rsid w:val="00453094"/>
    <w:rsid w:val="0046043E"/>
    <w:rsid w:val="00470655"/>
    <w:rsid w:val="00475E42"/>
    <w:rsid w:val="00480385"/>
    <w:rsid w:val="004807DE"/>
    <w:rsid w:val="004819C3"/>
    <w:rsid w:val="004A23FD"/>
    <w:rsid w:val="004B21FD"/>
    <w:rsid w:val="004B24AE"/>
    <w:rsid w:val="004C687E"/>
    <w:rsid w:val="004D4299"/>
    <w:rsid w:val="004E5A2F"/>
    <w:rsid w:val="004E5DE2"/>
    <w:rsid w:val="004E6695"/>
    <w:rsid w:val="004E7CE5"/>
    <w:rsid w:val="00501BBE"/>
    <w:rsid w:val="00502687"/>
    <w:rsid w:val="00502FCB"/>
    <w:rsid w:val="00503B13"/>
    <w:rsid w:val="0050713F"/>
    <w:rsid w:val="005166E4"/>
    <w:rsid w:val="0052117A"/>
    <w:rsid w:val="00522AEB"/>
    <w:rsid w:val="0052357D"/>
    <w:rsid w:val="005238DA"/>
    <w:rsid w:val="00536407"/>
    <w:rsid w:val="005460A2"/>
    <w:rsid w:val="00551C8B"/>
    <w:rsid w:val="00557C1C"/>
    <w:rsid w:val="005701B1"/>
    <w:rsid w:val="00571ECD"/>
    <w:rsid w:val="00572C7A"/>
    <w:rsid w:val="005732F4"/>
    <w:rsid w:val="00573ED4"/>
    <w:rsid w:val="00574A12"/>
    <w:rsid w:val="00575750"/>
    <w:rsid w:val="0058701C"/>
    <w:rsid w:val="005902AA"/>
    <w:rsid w:val="00591AAF"/>
    <w:rsid w:val="00591AB1"/>
    <w:rsid w:val="0059289C"/>
    <w:rsid w:val="005939FB"/>
    <w:rsid w:val="00594B0D"/>
    <w:rsid w:val="0059751B"/>
    <w:rsid w:val="00597A0F"/>
    <w:rsid w:val="005A190E"/>
    <w:rsid w:val="005A65B8"/>
    <w:rsid w:val="005A67E9"/>
    <w:rsid w:val="005A6B5F"/>
    <w:rsid w:val="005B12AB"/>
    <w:rsid w:val="005B2A25"/>
    <w:rsid w:val="005B36AF"/>
    <w:rsid w:val="005D02F9"/>
    <w:rsid w:val="005D0520"/>
    <w:rsid w:val="005D2160"/>
    <w:rsid w:val="005D22FD"/>
    <w:rsid w:val="005D5795"/>
    <w:rsid w:val="005E5939"/>
    <w:rsid w:val="005E59BA"/>
    <w:rsid w:val="005E67D5"/>
    <w:rsid w:val="005F0C18"/>
    <w:rsid w:val="005F2ECA"/>
    <w:rsid w:val="006106B9"/>
    <w:rsid w:val="00615260"/>
    <w:rsid w:val="00623749"/>
    <w:rsid w:val="00630F1F"/>
    <w:rsid w:val="00633147"/>
    <w:rsid w:val="0063321E"/>
    <w:rsid w:val="0064124B"/>
    <w:rsid w:val="00641ED1"/>
    <w:rsid w:val="00653443"/>
    <w:rsid w:val="00666F19"/>
    <w:rsid w:val="00666F55"/>
    <w:rsid w:val="0066747D"/>
    <w:rsid w:val="00670EE7"/>
    <w:rsid w:val="0067217D"/>
    <w:rsid w:val="0067357A"/>
    <w:rsid w:val="00676BA6"/>
    <w:rsid w:val="0068315D"/>
    <w:rsid w:val="00683589"/>
    <w:rsid w:val="00684090"/>
    <w:rsid w:val="00687D4F"/>
    <w:rsid w:val="006A0279"/>
    <w:rsid w:val="006A048C"/>
    <w:rsid w:val="006A3B16"/>
    <w:rsid w:val="006B2908"/>
    <w:rsid w:val="006C023A"/>
    <w:rsid w:val="006D1C4A"/>
    <w:rsid w:val="006D3C27"/>
    <w:rsid w:val="006D7C6F"/>
    <w:rsid w:val="006E1896"/>
    <w:rsid w:val="006E7B57"/>
    <w:rsid w:val="006F0A5C"/>
    <w:rsid w:val="007060C0"/>
    <w:rsid w:val="00711BEC"/>
    <w:rsid w:val="00716E0F"/>
    <w:rsid w:val="00722AF2"/>
    <w:rsid w:val="0072457C"/>
    <w:rsid w:val="00736576"/>
    <w:rsid w:val="00753FD5"/>
    <w:rsid w:val="00756641"/>
    <w:rsid w:val="0076132E"/>
    <w:rsid w:val="00765D30"/>
    <w:rsid w:val="007703D7"/>
    <w:rsid w:val="00777010"/>
    <w:rsid w:val="0078327A"/>
    <w:rsid w:val="00784AEF"/>
    <w:rsid w:val="0078770A"/>
    <w:rsid w:val="00787C7F"/>
    <w:rsid w:val="00795FF4"/>
    <w:rsid w:val="00796C36"/>
    <w:rsid w:val="007A5CC7"/>
    <w:rsid w:val="007B49FB"/>
    <w:rsid w:val="007B4E50"/>
    <w:rsid w:val="007C1ED0"/>
    <w:rsid w:val="007C339B"/>
    <w:rsid w:val="007C60E7"/>
    <w:rsid w:val="007C62C9"/>
    <w:rsid w:val="007D7EC6"/>
    <w:rsid w:val="007E00AA"/>
    <w:rsid w:val="007E1C18"/>
    <w:rsid w:val="007E7E08"/>
    <w:rsid w:val="007F031B"/>
    <w:rsid w:val="00800096"/>
    <w:rsid w:val="00800A9E"/>
    <w:rsid w:val="00801602"/>
    <w:rsid w:val="0080351F"/>
    <w:rsid w:val="00803DE8"/>
    <w:rsid w:val="00815E7C"/>
    <w:rsid w:val="00830684"/>
    <w:rsid w:val="00831556"/>
    <w:rsid w:val="008408A2"/>
    <w:rsid w:val="008429A2"/>
    <w:rsid w:val="00843444"/>
    <w:rsid w:val="008438D9"/>
    <w:rsid w:val="008529D9"/>
    <w:rsid w:val="0089073D"/>
    <w:rsid w:val="008948A1"/>
    <w:rsid w:val="008A03A1"/>
    <w:rsid w:val="008A3C14"/>
    <w:rsid w:val="008C5B02"/>
    <w:rsid w:val="008D1848"/>
    <w:rsid w:val="008D39C6"/>
    <w:rsid w:val="008E39EE"/>
    <w:rsid w:val="008E4212"/>
    <w:rsid w:val="008E532F"/>
    <w:rsid w:val="008F7C5C"/>
    <w:rsid w:val="0090399C"/>
    <w:rsid w:val="00914B77"/>
    <w:rsid w:val="009162CE"/>
    <w:rsid w:val="00926F40"/>
    <w:rsid w:val="0093197D"/>
    <w:rsid w:val="00932004"/>
    <w:rsid w:val="00933003"/>
    <w:rsid w:val="009347CD"/>
    <w:rsid w:val="00946DED"/>
    <w:rsid w:val="00957DA2"/>
    <w:rsid w:val="00966658"/>
    <w:rsid w:val="009810B6"/>
    <w:rsid w:val="009819FD"/>
    <w:rsid w:val="00982C8B"/>
    <w:rsid w:val="009834B9"/>
    <w:rsid w:val="00997F46"/>
    <w:rsid w:val="009B10A7"/>
    <w:rsid w:val="009B1C8F"/>
    <w:rsid w:val="009B281E"/>
    <w:rsid w:val="009B557D"/>
    <w:rsid w:val="009C2726"/>
    <w:rsid w:val="009D39F8"/>
    <w:rsid w:val="009D56E0"/>
    <w:rsid w:val="009D6CF0"/>
    <w:rsid w:val="009E3CF7"/>
    <w:rsid w:val="009E51FF"/>
    <w:rsid w:val="009F4F5B"/>
    <w:rsid w:val="00A00ACE"/>
    <w:rsid w:val="00A059C0"/>
    <w:rsid w:val="00A05D72"/>
    <w:rsid w:val="00A07C6B"/>
    <w:rsid w:val="00A113E6"/>
    <w:rsid w:val="00A12395"/>
    <w:rsid w:val="00A15E78"/>
    <w:rsid w:val="00A20593"/>
    <w:rsid w:val="00A24AD3"/>
    <w:rsid w:val="00A26197"/>
    <w:rsid w:val="00A348C1"/>
    <w:rsid w:val="00A37C5E"/>
    <w:rsid w:val="00A40329"/>
    <w:rsid w:val="00A40341"/>
    <w:rsid w:val="00A41B36"/>
    <w:rsid w:val="00A538B3"/>
    <w:rsid w:val="00A6119D"/>
    <w:rsid w:val="00A70915"/>
    <w:rsid w:val="00A74385"/>
    <w:rsid w:val="00A841E6"/>
    <w:rsid w:val="00A85672"/>
    <w:rsid w:val="00A9173B"/>
    <w:rsid w:val="00A9565A"/>
    <w:rsid w:val="00AD2E48"/>
    <w:rsid w:val="00AD3F32"/>
    <w:rsid w:val="00AD7084"/>
    <w:rsid w:val="00AE27B3"/>
    <w:rsid w:val="00AE467A"/>
    <w:rsid w:val="00AF11A4"/>
    <w:rsid w:val="00AF334C"/>
    <w:rsid w:val="00B10170"/>
    <w:rsid w:val="00B1027E"/>
    <w:rsid w:val="00B11DB4"/>
    <w:rsid w:val="00B20995"/>
    <w:rsid w:val="00B2199E"/>
    <w:rsid w:val="00B2584A"/>
    <w:rsid w:val="00B374A2"/>
    <w:rsid w:val="00B468A9"/>
    <w:rsid w:val="00B61142"/>
    <w:rsid w:val="00B62B0D"/>
    <w:rsid w:val="00B66603"/>
    <w:rsid w:val="00B67B9F"/>
    <w:rsid w:val="00B820B3"/>
    <w:rsid w:val="00B86C3A"/>
    <w:rsid w:val="00B917E8"/>
    <w:rsid w:val="00B967B4"/>
    <w:rsid w:val="00BA2525"/>
    <w:rsid w:val="00BA57A5"/>
    <w:rsid w:val="00BA6CA8"/>
    <w:rsid w:val="00BC35AA"/>
    <w:rsid w:val="00BC7F68"/>
    <w:rsid w:val="00BD25EB"/>
    <w:rsid w:val="00BD743E"/>
    <w:rsid w:val="00BE2F83"/>
    <w:rsid w:val="00BE45D3"/>
    <w:rsid w:val="00BF32EF"/>
    <w:rsid w:val="00BF5808"/>
    <w:rsid w:val="00C030C7"/>
    <w:rsid w:val="00C04750"/>
    <w:rsid w:val="00C06229"/>
    <w:rsid w:val="00C11248"/>
    <w:rsid w:val="00C11A24"/>
    <w:rsid w:val="00C15E63"/>
    <w:rsid w:val="00C1618F"/>
    <w:rsid w:val="00C22D96"/>
    <w:rsid w:val="00C440FC"/>
    <w:rsid w:val="00C46425"/>
    <w:rsid w:val="00C51716"/>
    <w:rsid w:val="00C51A15"/>
    <w:rsid w:val="00C60B6B"/>
    <w:rsid w:val="00C61EE6"/>
    <w:rsid w:val="00C70993"/>
    <w:rsid w:val="00C70B24"/>
    <w:rsid w:val="00C7525F"/>
    <w:rsid w:val="00C76E89"/>
    <w:rsid w:val="00C76FD2"/>
    <w:rsid w:val="00C77042"/>
    <w:rsid w:val="00C824E8"/>
    <w:rsid w:val="00C8284A"/>
    <w:rsid w:val="00C942AD"/>
    <w:rsid w:val="00C94795"/>
    <w:rsid w:val="00CA47DE"/>
    <w:rsid w:val="00CB6819"/>
    <w:rsid w:val="00CC589F"/>
    <w:rsid w:val="00CC6575"/>
    <w:rsid w:val="00CD035F"/>
    <w:rsid w:val="00CD3BFD"/>
    <w:rsid w:val="00CD5F0E"/>
    <w:rsid w:val="00CD61DC"/>
    <w:rsid w:val="00CE6241"/>
    <w:rsid w:val="00CE63D3"/>
    <w:rsid w:val="00CE6AA2"/>
    <w:rsid w:val="00CF70B7"/>
    <w:rsid w:val="00D13301"/>
    <w:rsid w:val="00D140BD"/>
    <w:rsid w:val="00D15FEC"/>
    <w:rsid w:val="00D20BDA"/>
    <w:rsid w:val="00D244A2"/>
    <w:rsid w:val="00D359C5"/>
    <w:rsid w:val="00D36276"/>
    <w:rsid w:val="00D42855"/>
    <w:rsid w:val="00D51C5A"/>
    <w:rsid w:val="00D5634A"/>
    <w:rsid w:val="00D721FB"/>
    <w:rsid w:val="00D74833"/>
    <w:rsid w:val="00D8277D"/>
    <w:rsid w:val="00D83FF5"/>
    <w:rsid w:val="00D87205"/>
    <w:rsid w:val="00D9478D"/>
    <w:rsid w:val="00D97F1A"/>
    <w:rsid w:val="00DB2CCB"/>
    <w:rsid w:val="00DB34D7"/>
    <w:rsid w:val="00DC04BD"/>
    <w:rsid w:val="00DC153D"/>
    <w:rsid w:val="00DD4A54"/>
    <w:rsid w:val="00DE3881"/>
    <w:rsid w:val="00DE4E1D"/>
    <w:rsid w:val="00DE7424"/>
    <w:rsid w:val="00DF652D"/>
    <w:rsid w:val="00E020D1"/>
    <w:rsid w:val="00E1319F"/>
    <w:rsid w:val="00E135A9"/>
    <w:rsid w:val="00E1423E"/>
    <w:rsid w:val="00E17635"/>
    <w:rsid w:val="00E204D7"/>
    <w:rsid w:val="00E27B14"/>
    <w:rsid w:val="00E30C6A"/>
    <w:rsid w:val="00E35654"/>
    <w:rsid w:val="00E46074"/>
    <w:rsid w:val="00E51787"/>
    <w:rsid w:val="00E6212D"/>
    <w:rsid w:val="00E62CAC"/>
    <w:rsid w:val="00E652AD"/>
    <w:rsid w:val="00E6532A"/>
    <w:rsid w:val="00E72E5C"/>
    <w:rsid w:val="00E75261"/>
    <w:rsid w:val="00E83753"/>
    <w:rsid w:val="00E94B16"/>
    <w:rsid w:val="00E94BC3"/>
    <w:rsid w:val="00E96C45"/>
    <w:rsid w:val="00EA03A7"/>
    <w:rsid w:val="00EB00B2"/>
    <w:rsid w:val="00EB72EB"/>
    <w:rsid w:val="00EC2222"/>
    <w:rsid w:val="00EC27EA"/>
    <w:rsid w:val="00ED106C"/>
    <w:rsid w:val="00ED5D61"/>
    <w:rsid w:val="00ED603B"/>
    <w:rsid w:val="00EE2557"/>
    <w:rsid w:val="00EE6191"/>
    <w:rsid w:val="00EF771E"/>
    <w:rsid w:val="00F0098D"/>
    <w:rsid w:val="00F10799"/>
    <w:rsid w:val="00F13372"/>
    <w:rsid w:val="00F139B7"/>
    <w:rsid w:val="00F14A74"/>
    <w:rsid w:val="00F16D4C"/>
    <w:rsid w:val="00F20723"/>
    <w:rsid w:val="00F21EC3"/>
    <w:rsid w:val="00F27AAD"/>
    <w:rsid w:val="00F35266"/>
    <w:rsid w:val="00F35922"/>
    <w:rsid w:val="00F46390"/>
    <w:rsid w:val="00F55238"/>
    <w:rsid w:val="00F55BE8"/>
    <w:rsid w:val="00F6116C"/>
    <w:rsid w:val="00F62DD2"/>
    <w:rsid w:val="00F67DC5"/>
    <w:rsid w:val="00F7158E"/>
    <w:rsid w:val="00F764F8"/>
    <w:rsid w:val="00F7732E"/>
    <w:rsid w:val="00F8021B"/>
    <w:rsid w:val="00F861EF"/>
    <w:rsid w:val="00F92687"/>
    <w:rsid w:val="00F96B6C"/>
    <w:rsid w:val="00FA0412"/>
    <w:rsid w:val="00FB14D5"/>
    <w:rsid w:val="00FB5F3C"/>
    <w:rsid w:val="00FE309F"/>
    <w:rsid w:val="00FE5D56"/>
    <w:rsid w:val="00FE74AD"/>
    <w:rsid w:val="00FE75C7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28DD8B-9FAC-4462-82D7-DF78E14A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5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9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semiHidden/>
    <w:rsid w:val="00997F46"/>
    <w:pPr>
      <w:tabs>
        <w:tab w:val="left" w:pos="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right="-1728"/>
      <w:jc w:val="both"/>
    </w:pPr>
    <w:rPr>
      <w:spacing w:val="-2"/>
      <w:sz w:val="22"/>
      <w:szCs w:val="20"/>
    </w:rPr>
  </w:style>
  <w:style w:type="paragraph" w:styleId="Textodeglobo">
    <w:name w:val="Balloon Text"/>
    <w:basedOn w:val="Normal"/>
    <w:semiHidden/>
    <w:rsid w:val="00997F4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97F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97F46"/>
  </w:style>
  <w:style w:type="paragraph" w:styleId="Textoindependiente2">
    <w:name w:val="Body Text 2"/>
    <w:basedOn w:val="Normal"/>
    <w:link w:val="Textoindependiente2Car"/>
    <w:rsid w:val="00F96B6C"/>
    <w:pPr>
      <w:spacing w:after="120" w:line="480" w:lineRule="auto"/>
    </w:pPr>
    <w:rPr>
      <w:rFonts w:ascii="Arial" w:hAnsi="Arial"/>
      <w:lang w:val="es-ES"/>
    </w:rPr>
  </w:style>
  <w:style w:type="paragraph" w:styleId="Textodebloque">
    <w:name w:val="Block Text"/>
    <w:basedOn w:val="Normal"/>
    <w:semiHidden/>
    <w:rsid w:val="00F96B6C"/>
    <w:pPr>
      <w:suppressAutoHyphens/>
      <w:ind w:left="1134" w:right="50"/>
      <w:jc w:val="both"/>
    </w:pPr>
    <w:rPr>
      <w:spacing w:val="-2"/>
      <w:sz w:val="22"/>
      <w:szCs w:val="20"/>
    </w:rPr>
  </w:style>
  <w:style w:type="paragraph" w:styleId="Listaconvietas3">
    <w:name w:val="List Bullet 3"/>
    <w:basedOn w:val="Normal"/>
    <w:rsid w:val="00F96B6C"/>
    <w:pPr>
      <w:numPr>
        <w:numId w:val="2"/>
      </w:numPr>
    </w:pPr>
    <w:rPr>
      <w:rFonts w:ascii="Arial" w:hAnsi="Arial"/>
      <w:lang w:val="es-ES"/>
    </w:rPr>
  </w:style>
  <w:style w:type="paragraph" w:styleId="Textoindependiente3">
    <w:name w:val="Body Text 3"/>
    <w:basedOn w:val="Normal"/>
    <w:link w:val="Textoindependiente3Car"/>
    <w:rsid w:val="00753F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53FD5"/>
    <w:rPr>
      <w:sz w:val="16"/>
      <w:szCs w:val="16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C76FE"/>
    <w:rPr>
      <w:rFonts w:ascii="Arial" w:hAnsi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245FC"/>
    <w:pPr>
      <w:widowControl w:val="0"/>
      <w:ind w:left="720"/>
      <w:contextualSpacing/>
    </w:pPr>
    <w:rPr>
      <w:rFonts w:ascii="Arial" w:hAnsi="Arial"/>
      <w:snapToGrid w:val="0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831556"/>
    <w:pPr>
      <w:spacing w:after="120"/>
      <w:ind w:left="283"/>
    </w:pPr>
    <w:rPr>
      <w:rFonts w:ascii="Arial" w:hAnsi="Arial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1556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CUADRO Nº 1</vt:lpstr>
    </vt:vector>
  </TitlesOfParts>
  <Company>.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Nº 1</dc:title>
  <dc:creator>hrodrigo</dc:creator>
  <cp:lastModifiedBy>ofprensa</cp:lastModifiedBy>
  <cp:revision>2</cp:revision>
  <cp:lastPrinted>2012-11-20T11:07:00Z</cp:lastPrinted>
  <dcterms:created xsi:type="dcterms:W3CDTF">2020-12-09T16:24:00Z</dcterms:created>
  <dcterms:modified xsi:type="dcterms:W3CDTF">2020-12-09T16:24:00Z</dcterms:modified>
</cp:coreProperties>
</file>